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C08" w14:textId="77777777" w:rsidR="002F5E7C" w:rsidRDefault="002F5E7C" w:rsidP="002F5E7C">
      <w:pPr>
        <w:spacing w:after="240"/>
        <w:jc w:val="center"/>
        <w:rPr>
          <w:b/>
          <w:color w:val="000000" w:themeColor="text1"/>
          <w:sz w:val="28"/>
          <w:szCs w:val="28"/>
        </w:rPr>
      </w:pPr>
    </w:p>
    <w:p w14:paraId="3BA3183A" w14:textId="77777777" w:rsidR="002F5E7C" w:rsidRPr="00C743A9" w:rsidRDefault="002F5E7C" w:rsidP="002F5E7C">
      <w:pPr>
        <w:spacing w:after="240"/>
        <w:jc w:val="center"/>
        <w:rPr>
          <w:b/>
          <w:color w:val="000000" w:themeColor="text1"/>
          <w:sz w:val="28"/>
          <w:szCs w:val="28"/>
        </w:rPr>
      </w:pPr>
      <w:r w:rsidRPr="00C743A9">
        <w:rPr>
          <w:b/>
          <w:color w:val="000000" w:themeColor="text1"/>
          <w:sz w:val="28"/>
          <w:szCs w:val="28"/>
        </w:rPr>
        <w:t>Council of Ministers’ Decision No. [</w:t>
      </w:r>
      <w:r>
        <w:rPr>
          <w:b/>
          <w:color w:val="000000" w:themeColor="text1"/>
          <w:sz w:val="28"/>
          <w:szCs w:val="28"/>
        </w:rPr>
        <w:t>14] of 2021</w:t>
      </w:r>
    </w:p>
    <w:p w14:paraId="7AE5412F" w14:textId="77777777" w:rsidR="002F5E7C" w:rsidRPr="00C743A9" w:rsidRDefault="002F5E7C" w:rsidP="00964B95">
      <w:pPr>
        <w:spacing w:after="24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Amending some Provisions of</w:t>
      </w:r>
      <w:r w:rsidRPr="00C743A9">
        <w:rPr>
          <w:b/>
          <w:color w:val="000000" w:themeColor="text1"/>
          <w:sz w:val="28"/>
          <w:szCs w:val="28"/>
        </w:rPr>
        <w:t xml:space="preserve"> the Implementing Regulations of </w:t>
      </w:r>
      <w:r>
        <w:rPr>
          <w:b/>
          <w:color w:val="000000" w:themeColor="text1"/>
          <w:sz w:val="28"/>
          <w:szCs w:val="28"/>
        </w:rPr>
        <w:t>the Law</w:t>
      </w:r>
      <w:r w:rsidRPr="00C743A9">
        <w:rPr>
          <w:b/>
          <w:color w:val="000000" w:themeColor="text1"/>
          <w:sz w:val="28"/>
          <w:szCs w:val="28"/>
        </w:rPr>
        <w:t xml:space="preserve"> on Combatting Money Laundering and Terrorism Financing</w:t>
      </w:r>
      <w:r w:rsidR="00964B95">
        <w:rPr>
          <w:b/>
          <w:color w:val="000000" w:themeColor="text1"/>
          <w:sz w:val="28"/>
          <w:szCs w:val="28"/>
        </w:rPr>
        <w:t xml:space="preserve"> Promulgated by the Council of Ministers’ Decision No. (41) of 2019</w:t>
      </w:r>
    </w:p>
    <w:p w14:paraId="4802994A" w14:textId="77777777" w:rsidR="002F5E7C" w:rsidRPr="00C743A9" w:rsidRDefault="002F5E7C" w:rsidP="002F5E7C">
      <w:pPr>
        <w:pBdr>
          <w:bottom w:val="single" w:sz="6" w:space="0" w:color="auto"/>
        </w:pBdr>
        <w:spacing w:after="240"/>
        <w:jc w:val="center"/>
        <w:rPr>
          <w:b/>
          <w:color w:val="000000" w:themeColor="text1"/>
          <w:sz w:val="28"/>
          <w:szCs w:val="28"/>
        </w:rPr>
      </w:pPr>
    </w:p>
    <w:p w14:paraId="26BF9768" w14:textId="77777777" w:rsidR="002F5E7C" w:rsidRPr="00C743A9" w:rsidRDefault="002F5E7C" w:rsidP="002F5E7C">
      <w:pPr>
        <w:rPr>
          <w:b/>
          <w:sz w:val="28"/>
          <w:szCs w:val="28"/>
        </w:rPr>
      </w:pPr>
      <w:r w:rsidRPr="00C743A9">
        <w:rPr>
          <w:b/>
          <w:sz w:val="28"/>
          <w:szCs w:val="28"/>
        </w:rPr>
        <w:t>The Council of Ministers,</w:t>
      </w:r>
    </w:p>
    <w:p w14:paraId="1F203D5C" w14:textId="77777777" w:rsidR="002F5E7C" w:rsidRPr="00C743A9" w:rsidRDefault="002F5E7C" w:rsidP="002F5E7C">
      <w:pPr>
        <w:spacing w:line="240" w:lineRule="auto"/>
        <w:jc w:val="both"/>
        <w:rPr>
          <w:sz w:val="28"/>
          <w:szCs w:val="28"/>
        </w:rPr>
      </w:pPr>
      <w:r w:rsidRPr="00C743A9">
        <w:rPr>
          <w:sz w:val="28"/>
          <w:szCs w:val="28"/>
        </w:rPr>
        <w:t>Having perused the Constitution; and</w:t>
      </w:r>
    </w:p>
    <w:p w14:paraId="32DEBE53" w14:textId="77777777" w:rsidR="002F5E7C" w:rsidRPr="00C743A9" w:rsidRDefault="002F5E7C" w:rsidP="00964B95">
      <w:pPr>
        <w:spacing w:line="276" w:lineRule="auto"/>
        <w:jc w:val="both"/>
        <w:rPr>
          <w:sz w:val="28"/>
          <w:szCs w:val="28"/>
        </w:rPr>
      </w:pPr>
      <w:r w:rsidRPr="00C743A9">
        <w:rPr>
          <w:sz w:val="28"/>
          <w:szCs w:val="28"/>
        </w:rPr>
        <w:t>The Law No. (20) of 2019 on Combating Money Laundering and Terrorism Financing</w:t>
      </w:r>
      <w:r w:rsidR="00CF6A68">
        <w:rPr>
          <w:sz w:val="28"/>
          <w:szCs w:val="28"/>
        </w:rPr>
        <w:t>,</w:t>
      </w:r>
      <w:r w:rsidR="00964B95">
        <w:rPr>
          <w:sz w:val="28"/>
          <w:szCs w:val="28"/>
        </w:rPr>
        <w:t xml:space="preserve"> amended by Decree-Law No. (19) of 2021</w:t>
      </w:r>
      <w:r w:rsidRPr="00C743A9">
        <w:rPr>
          <w:sz w:val="28"/>
          <w:szCs w:val="28"/>
        </w:rPr>
        <w:t>; and</w:t>
      </w:r>
    </w:p>
    <w:p w14:paraId="26385011" w14:textId="77777777" w:rsidR="00964B95" w:rsidRPr="00C743A9" w:rsidRDefault="00964B95" w:rsidP="00964B95">
      <w:pPr>
        <w:spacing w:line="276" w:lineRule="auto"/>
        <w:jc w:val="both"/>
        <w:rPr>
          <w:sz w:val="28"/>
          <w:szCs w:val="28"/>
        </w:rPr>
      </w:pPr>
      <w:r w:rsidRPr="00C743A9">
        <w:rPr>
          <w:sz w:val="28"/>
          <w:szCs w:val="28"/>
        </w:rPr>
        <w:t>The Emiri Resolution No. (29) of 1996 on the Council of Ministers’ Decisions submitted to the Emir for Ratification and Issuance; and</w:t>
      </w:r>
    </w:p>
    <w:p w14:paraId="596474D1" w14:textId="77777777" w:rsidR="00964B95" w:rsidRPr="00964B95" w:rsidRDefault="00964B95" w:rsidP="00964B95">
      <w:pPr>
        <w:spacing w:line="276" w:lineRule="auto"/>
        <w:jc w:val="both"/>
        <w:rPr>
          <w:sz w:val="28"/>
          <w:szCs w:val="28"/>
        </w:rPr>
      </w:pPr>
      <w:r w:rsidRPr="00C743A9">
        <w:rPr>
          <w:sz w:val="28"/>
          <w:szCs w:val="28"/>
        </w:rPr>
        <w:t>The proposal of the Chairman of the National Anti-Money Laundering and Terrorism Financing Committee,</w:t>
      </w:r>
    </w:p>
    <w:p w14:paraId="7DE24B31" w14:textId="77777777" w:rsidR="00964B95" w:rsidRPr="00C743A9" w:rsidRDefault="00964B95" w:rsidP="005D096E">
      <w:pPr>
        <w:spacing w:line="360" w:lineRule="auto"/>
        <w:rPr>
          <w:b/>
          <w:sz w:val="28"/>
          <w:szCs w:val="28"/>
        </w:rPr>
      </w:pPr>
      <w:r w:rsidRPr="00C743A9">
        <w:rPr>
          <w:b/>
          <w:sz w:val="28"/>
          <w:szCs w:val="28"/>
        </w:rPr>
        <w:t>H</w:t>
      </w:r>
      <w:r w:rsidR="005D096E">
        <w:rPr>
          <w:b/>
          <w:sz w:val="28"/>
          <w:szCs w:val="28"/>
        </w:rPr>
        <w:t>ave decreed the following</w:t>
      </w:r>
      <w:r w:rsidRPr="00C743A9">
        <w:rPr>
          <w:b/>
          <w:sz w:val="28"/>
          <w:szCs w:val="28"/>
        </w:rPr>
        <w:t>:</w:t>
      </w:r>
    </w:p>
    <w:p w14:paraId="6D6B8BC3" w14:textId="77777777" w:rsidR="00964B95" w:rsidRPr="00C743A9" w:rsidRDefault="00964B95" w:rsidP="00964B95">
      <w:pPr>
        <w:spacing w:line="360" w:lineRule="auto"/>
        <w:jc w:val="center"/>
        <w:rPr>
          <w:b/>
          <w:sz w:val="28"/>
          <w:szCs w:val="28"/>
        </w:rPr>
      </w:pPr>
      <w:r w:rsidRPr="00C743A9">
        <w:rPr>
          <w:b/>
          <w:sz w:val="28"/>
          <w:szCs w:val="28"/>
        </w:rPr>
        <w:t>Article (1)</w:t>
      </w:r>
    </w:p>
    <w:p w14:paraId="51DDA682" w14:textId="77777777" w:rsidR="00077C9A" w:rsidRDefault="00964B95" w:rsidP="00C62B37">
      <w:pPr>
        <w:spacing w:line="360" w:lineRule="auto"/>
        <w:ind w:firstLine="720"/>
        <w:jc w:val="both"/>
        <w:rPr>
          <w:sz w:val="28"/>
          <w:szCs w:val="28"/>
        </w:rPr>
      </w:pPr>
      <w:r w:rsidRPr="00964B9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text of Article (74) of the Implementing Regulations of the Law on Combating Money Laundering and Terrorism Financing </w:t>
      </w:r>
      <w:r w:rsidR="007B7FBB">
        <w:rPr>
          <w:sz w:val="28"/>
          <w:szCs w:val="28"/>
        </w:rPr>
        <w:t>referred to above, shall be replaced with the following:</w:t>
      </w:r>
    </w:p>
    <w:p w14:paraId="3F49AE01" w14:textId="77777777" w:rsidR="007B7FBB" w:rsidRPr="007B7FBB" w:rsidRDefault="007B7FBB" w:rsidP="007B7FBB">
      <w:pPr>
        <w:spacing w:before="200" w:after="20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Ref14710157"/>
      <w:r w:rsidRPr="007B7FBB">
        <w:rPr>
          <w:rFonts w:ascii="Times New Roman" w:hAnsi="Times New Roman" w:cs="Times New Roman"/>
          <w:b/>
          <w:sz w:val="28"/>
          <w:szCs w:val="28"/>
          <w:u w:val="single"/>
        </w:rPr>
        <w:t>Article (74)</w:t>
      </w:r>
    </w:p>
    <w:bookmarkEnd w:id="0"/>
    <w:p w14:paraId="08A541F8" w14:textId="77777777" w:rsidR="007B7FBB" w:rsidRPr="007B7FBB" w:rsidRDefault="002A21BA" w:rsidP="007458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7B7FBB" w:rsidRPr="007B7FBB">
        <w:rPr>
          <w:sz w:val="28"/>
          <w:szCs w:val="28"/>
        </w:rPr>
        <w:t>Supervisory authorities of financial institutions shall</w:t>
      </w:r>
      <w:r w:rsidR="0012471F">
        <w:rPr>
          <w:sz w:val="28"/>
          <w:szCs w:val="28"/>
        </w:rPr>
        <w:t xml:space="preserve"> obtain</w:t>
      </w:r>
      <w:r w:rsidR="007B7FBB" w:rsidRPr="007B7FBB">
        <w:rPr>
          <w:sz w:val="28"/>
          <w:szCs w:val="28"/>
        </w:rPr>
        <w:t xml:space="preserve"> </w:t>
      </w:r>
      <w:r w:rsidR="00371C60">
        <w:rPr>
          <w:sz w:val="28"/>
          <w:szCs w:val="28"/>
        </w:rPr>
        <w:t>the</w:t>
      </w:r>
      <w:r w:rsidR="00C773CA">
        <w:rPr>
          <w:sz w:val="28"/>
          <w:szCs w:val="28"/>
        </w:rPr>
        <w:t xml:space="preserve"> </w:t>
      </w:r>
      <w:r w:rsidR="00366224" w:rsidRPr="007B7FBB">
        <w:rPr>
          <w:sz w:val="28"/>
          <w:szCs w:val="28"/>
        </w:rPr>
        <w:t xml:space="preserve">prior authorisation </w:t>
      </w:r>
      <w:r w:rsidR="00371C60">
        <w:rPr>
          <w:sz w:val="28"/>
          <w:szCs w:val="28"/>
        </w:rPr>
        <w:t>of</w:t>
      </w:r>
      <w:r w:rsidR="00C773CA">
        <w:rPr>
          <w:sz w:val="28"/>
          <w:szCs w:val="28"/>
        </w:rPr>
        <w:t xml:space="preserve"> </w:t>
      </w:r>
      <w:r w:rsidR="00745834">
        <w:rPr>
          <w:sz w:val="28"/>
          <w:szCs w:val="28"/>
        </w:rPr>
        <w:t>their</w:t>
      </w:r>
      <w:r w:rsidR="00A210D6">
        <w:rPr>
          <w:sz w:val="28"/>
          <w:szCs w:val="28"/>
        </w:rPr>
        <w:t xml:space="preserve"> requested</w:t>
      </w:r>
      <w:r w:rsidR="007B7FBB" w:rsidRPr="007B7FBB">
        <w:rPr>
          <w:sz w:val="28"/>
          <w:szCs w:val="28"/>
        </w:rPr>
        <w:t xml:space="preserve"> foreign counterparts for any dissemination</w:t>
      </w:r>
      <w:r w:rsidR="00B9446C">
        <w:rPr>
          <w:sz w:val="28"/>
          <w:szCs w:val="28"/>
        </w:rPr>
        <w:t xml:space="preserve"> to any authority</w:t>
      </w:r>
      <w:r w:rsidR="007B7FBB" w:rsidRPr="007B7FBB">
        <w:rPr>
          <w:sz w:val="28"/>
          <w:szCs w:val="28"/>
        </w:rPr>
        <w:t xml:space="preserve"> of information exchanged, or</w:t>
      </w:r>
      <w:r w:rsidR="00B9446C">
        <w:rPr>
          <w:sz w:val="28"/>
          <w:szCs w:val="28"/>
        </w:rPr>
        <w:t xml:space="preserve"> </w:t>
      </w:r>
      <w:r w:rsidR="007B7FBB" w:rsidRPr="007B7FBB">
        <w:rPr>
          <w:sz w:val="28"/>
          <w:szCs w:val="28"/>
        </w:rPr>
        <w:t>for any use of that information for supervisory and non-supervisory purposes</w:t>
      </w:r>
      <w:r w:rsidR="00D83A9A">
        <w:rPr>
          <w:sz w:val="28"/>
          <w:szCs w:val="28"/>
        </w:rPr>
        <w:t>.</w:t>
      </w:r>
      <w:r w:rsidR="007B7FBB" w:rsidRPr="007B7FBB">
        <w:rPr>
          <w:sz w:val="28"/>
          <w:szCs w:val="28"/>
        </w:rPr>
        <w:t xml:space="preserve"> </w:t>
      </w:r>
    </w:p>
    <w:p w14:paraId="46E08642" w14:textId="77777777" w:rsidR="007B7FBB" w:rsidRPr="007B7FBB" w:rsidRDefault="007B7FBB" w:rsidP="00332A17">
      <w:pPr>
        <w:spacing w:line="360" w:lineRule="auto"/>
        <w:ind w:firstLine="720"/>
        <w:jc w:val="both"/>
        <w:rPr>
          <w:sz w:val="28"/>
          <w:szCs w:val="28"/>
        </w:rPr>
      </w:pPr>
      <w:r w:rsidRPr="007B7FBB">
        <w:rPr>
          <w:sz w:val="28"/>
          <w:szCs w:val="28"/>
        </w:rPr>
        <w:t xml:space="preserve">In cases where the </w:t>
      </w:r>
      <w:r w:rsidR="00371C60">
        <w:rPr>
          <w:sz w:val="28"/>
          <w:szCs w:val="28"/>
        </w:rPr>
        <w:t>reque</w:t>
      </w:r>
      <w:r w:rsidR="00462EA5">
        <w:rPr>
          <w:sz w:val="28"/>
          <w:szCs w:val="28"/>
        </w:rPr>
        <w:t>sting supervisory authorities</w:t>
      </w:r>
      <w:r w:rsidR="008637E1">
        <w:rPr>
          <w:sz w:val="28"/>
          <w:szCs w:val="28"/>
        </w:rPr>
        <w:t xml:space="preserve"> of financial institutions </w:t>
      </w:r>
      <w:r w:rsidR="00462EA5">
        <w:rPr>
          <w:sz w:val="28"/>
          <w:szCs w:val="28"/>
        </w:rPr>
        <w:t>are</w:t>
      </w:r>
      <w:r w:rsidRPr="007B7FBB">
        <w:rPr>
          <w:sz w:val="28"/>
          <w:szCs w:val="28"/>
        </w:rPr>
        <w:t xml:space="preserve"> under a legal obli</w:t>
      </w:r>
      <w:r w:rsidR="008637E1">
        <w:rPr>
          <w:sz w:val="28"/>
          <w:szCs w:val="28"/>
        </w:rPr>
        <w:t>g</w:t>
      </w:r>
      <w:r w:rsidR="00BF4543">
        <w:rPr>
          <w:sz w:val="28"/>
          <w:szCs w:val="28"/>
        </w:rPr>
        <w:t>ation to disclose or report such</w:t>
      </w:r>
      <w:r w:rsidRPr="007B7FBB">
        <w:rPr>
          <w:sz w:val="28"/>
          <w:szCs w:val="28"/>
        </w:rPr>
        <w:t xml:space="preserve"> information, </w:t>
      </w:r>
      <w:r w:rsidR="008637E1">
        <w:rPr>
          <w:sz w:val="28"/>
          <w:szCs w:val="28"/>
        </w:rPr>
        <w:lastRenderedPageBreak/>
        <w:t xml:space="preserve">they </w:t>
      </w:r>
      <w:r w:rsidR="00BF4543">
        <w:rPr>
          <w:sz w:val="28"/>
          <w:szCs w:val="28"/>
        </w:rPr>
        <w:t>should promptly</w:t>
      </w:r>
      <w:r w:rsidRPr="007B7FBB">
        <w:rPr>
          <w:sz w:val="28"/>
          <w:szCs w:val="28"/>
        </w:rPr>
        <w:t xml:space="preserve"> </w:t>
      </w:r>
      <w:r w:rsidR="008637E1">
        <w:rPr>
          <w:sz w:val="28"/>
          <w:szCs w:val="28"/>
        </w:rPr>
        <w:t>inform</w:t>
      </w:r>
      <w:r w:rsidRPr="007B7FBB">
        <w:rPr>
          <w:sz w:val="28"/>
          <w:szCs w:val="28"/>
        </w:rPr>
        <w:t xml:space="preserve"> their </w:t>
      </w:r>
      <w:r w:rsidR="00BF4543">
        <w:rPr>
          <w:sz w:val="28"/>
          <w:szCs w:val="28"/>
        </w:rPr>
        <w:t xml:space="preserve">requested </w:t>
      </w:r>
      <w:r w:rsidRPr="007B7FBB">
        <w:rPr>
          <w:sz w:val="28"/>
          <w:szCs w:val="28"/>
        </w:rPr>
        <w:t xml:space="preserve">foreign counterparts </w:t>
      </w:r>
      <w:r w:rsidR="00BF4543">
        <w:rPr>
          <w:sz w:val="28"/>
          <w:szCs w:val="28"/>
        </w:rPr>
        <w:t>of this</w:t>
      </w:r>
      <w:r w:rsidRPr="007B7FBB">
        <w:rPr>
          <w:sz w:val="28"/>
          <w:szCs w:val="28"/>
        </w:rPr>
        <w:t xml:space="preserve"> obligation.</w:t>
      </w:r>
      <w:r w:rsidR="00FA66F5">
        <w:rPr>
          <w:sz w:val="28"/>
          <w:szCs w:val="28"/>
        </w:rPr>
        <w:t>”</w:t>
      </w:r>
    </w:p>
    <w:p w14:paraId="2E8B708A" w14:textId="77777777" w:rsidR="001F1B76" w:rsidRDefault="001F1B76" w:rsidP="007B7FBB">
      <w:pPr>
        <w:spacing w:line="360" w:lineRule="auto"/>
        <w:jc w:val="both"/>
        <w:rPr>
          <w:sz w:val="28"/>
          <w:szCs w:val="28"/>
        </w:rPr>
      </w:pPr>
    </w:p>
    <w:p w14:paraId="36691A73" w14:textId="77777777" w:rsidR="001F1B76" w:rsidRPr="00C743A9" w:rsidRDefault="001F1B76" w:rsidP="001F1B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(2</w:t>
      </w:r>
      <w:r w:rsidRPr="00C743A9">
        <w:rPr>
          <w:b/>
          <w:sz w:val="28"/>
          <w:szCs w:val="28"/>
        </w:rPr>
        <w:t>)</w:t>
      </w:r>
    </w:p>
    <w:p w14:paraId="79289015" w14:textId="77777777" w:rsidR="001F1B76" w:rsidRPr="008D3F8B" w:rsidRDefault="001F1B76" w:rsidP="00D20574">
      <w:pPr>
        <w:spacing w:line="360" w:lineRule="auto"/>
        <w:ind w:firstLine="720"/>
        <w:jc w:val="both"/>
        <w:rPr>
          <w:sz w:val="28"/>
          <w:szCs w:val="28"/>
        </w:rPr>
      </w:pPr>
      <w:r w:rsidRPr="00C743A9">
        <w:rPr>
          <w:sz w:val="28"/>
          <w:szCs w:val="28"/>
        </w:rPr>
        <w:t xml:space="preserve">All Competent Authorities, each within its own competence, shall implement this Decision, which shall come into force on the day </w:t>
      </w:r>
      <w:r>
        <w:rPr>
          <w:sz w:val="28"/>
          <w:szCs w:val="28"/>
        </w:rPr>
        <w:t xml:space="preserve">of its issuance and shall be published </w:t>
      </w:r>
      <w:r w:rsidRPr="00C743A9">
        <w:rPr>
          <w:sz w:val="28"/>
          <w:szCs w:val="28"/>
        </w:rPr>
        <w:t>in the Official Gazette.</w:t>
      </w:r>
    </w:p>
    <w:p w14:paraId="242C5B75" w14:textId="77777777" w:rsidR="001F1B76" w:rsidRDefault="001F1B76" w:rsidP="001F1B76">
      <w:pPr>
        <w:spacing w:line="360" w:lineRule="auto"/>
        <w:jc w:val="both"/>
        <w:rPr>
          <w:b/>
          <w:bCs/>
          <w:sz w:val="28"/>
          <w:szCs w:val="28"/>
        </w:rPr>
      </w:pPr>
    </w:p>
    <w:p w14:paraId="54BD6BA6" w14:textId="77777777" w:rsidR="001F1B76" w:rsidRPr="001C7892" w:rsidRDefault="001F1B76" w:rsidP="001F1B7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Khalid</w:t>
      </w:r>
      <w:r w:rsidRPr="001C7892">
        <w:rPr>
          <w:b/>
          <w:bCs/>
          <w:sz w:val="28"/>
          <w:szCs w:val="28"/>
        </w:rPr>
        <w:t xml:space="preserve"> </w:t>
      </w:r>
      <w:r w:rsidRPr="00C743A9">
        <w:rPr>
          <w:b/>
          <w:bCs/>
          <w:sz w:val="28"/>
          <w:szCs w:val="28"/>
        </w:rPr>
        <w:t>b</w:t>
      </w:r>
      <w:r w:rsidRPr="001C7892">
        <w:rPr>
          <w:b/>
          <w:bCs/>
          <w:sz w:val="28"/>
          <w:szCs w:val="28"/>
        </w:rPr>
        <w:t xml:space="preserve">in Khalifa </w:t>
      </w:r>
      <w:r>
        <w:rPr>
          <w:b/>
          <w:bCs/>
          <w:sz w:val="28"/>
          <w:szCs w:val="28"/>
        </w:rPr>
        <w:t xml:space="preserve">bin Abdulaziz </w:t>
      </w:r>
      <w:r w:rsidRPr="001C7892">
        <w:rPr>
          <w:b/>
          <w:bCs/>
          <w:sz w:val="28"/>
          <w:szCs w:val="28"/>
        </w:rPr>
        <w:t>Al Thani</w:t>
      </w:r>
    </w:p>
    <w:p w14:paraId="01D79879" w14:textId="77777777" w:rsidR="001F1B76" w:rsidRPr="001C7892" w:rsidRDefault="001F1B76" w:rsidP="001F1B76">
      <w:pPr>
        <w:spacing w:line="360" w:lineRule="auto"/>
        <w:jc w:val="both"/>
        <w:rPr>
          <w:b/>
          <w:bCs/>
          <w:sz w:val="28"/>
          <w:szCs w:val="28"/>
        </w:rPr>
      </w:pPr>
      <w:r w:rsidRPr="001C7892">
        <w:rPr>
          <w:b/>
          <w:bCs/>
          <w:sz w:val="28"/>
          <w:szCs w:val="28"/>
        </w:rPr>
        <w:t>Prime Minister</w:t>
      </w:r>
    </w:p>
    <w:p w14:paraId="47011347" w14:textId="77777777" w:rsidR="001F1B76" w:rsidRPr="00C743A9" w:rsidRDefault="001F1B76" w:rsidP="001F1B76">
      <w:pPr>
        <w:jc w:val="center"/>
        <w:rPr>
          <w:b/>
          <w:sz w:val="28"/>
          <w:szCs w:val="28"/>
        </w:rPr>
      </w:pPr>
    </w:p>
    <w:p w14:paraId="0F4D62EA" w14:textId="77777777" w:rsidR="001F1B76" w:rsidRPr="00C743A9" w:rsidRDefault="001F1B76" w:rsidP="003706EE">
      <w:pPr>
        <w:jc w:val="both"/>
        <w:rPr>
          <w:b/>
          <w:bCs/>
          <w:sz w:val="28"/>
          <w:szCs w:val="28"/>
          <w:rtl/>
          <w:lang w:bidi="ar-QA"/>
        </w:rPr>
      </w:pPr>
      <w:r w:rsidRPr="00C743A9">
        <w:rPr>
          <w:b/>
          <w:sz w:val="28"/>
          <w:szCs w:val="28"/>
        </w:rPr>
        <w:t>We, Tamim Bin Hamad Al Thani</w:t>
      </w:r>
      <w:r w:rsidRPr="00C743A9">
        <w:rPr>
          <w:b/>
          <w:bCs/>
          <w:sz w:val="28"/>
          <w:szCs w:val="28"/>
          <w:lang w:bidi="ar-QA"/>
        </w:rPr>
        <w:t xml:space="preserve"> , </w:t>
      </w:r>
      <w:r w:rsidRPr="00C743A9">
        <w:rPr>
          <w:b/>
          <w:sz w:val="28"/>
          <w:szCs w:val="28"/>
        </w:rPr>
        <w:t>Emir of the State of Qatar endorse this Decision to be issued.</w:t>
      </w:r>
    </w:p>
    <w:p w14:paraId="26D86681" w14:textId="77777777" w:rsidR="001F1B76" w:rsidRDefault="001F1B76" w:rsidP="001F1B76">
      <w:pPr>
        <w:spacing w:line="360" w:lineRule="auto"/>
        <w:rPr>
          <w:sz w:val="28"/>
          <w:szCs w:val="28"/>
        </w:rPr>
      </w:pPr>
    </w:p>
    <w:p w14:paraId="56E11EE1" w14:textId="77777777" w:rsidR="001F1B76" w:rsidRPr="00AE5421" w:rsidRDefault="00D92979" w:rsidP="001F1B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Issued at the </w:t>
      </w:r>
      <w:r w:rsidR="001F1B76" w:rsidRPr="00AE5421">
        <w:rPr>
          <w:sz w:val="28"/>
          <w:szCs w:val="28"/>
        </w:rPr>
        <w:t>Emiri Diwan on</w:t>
      </w:r>
      <w:r>
        <w:rPr>
          <w:sz w:val="28"/>
          <w:szCs w:val="28"/>
        </w:rPr>
        <w:t xml:space="preserve"> </w:t>
      </w:r>
      <w:r w:rsidR="001F1B76" w:rsidRPr="00AE5421">
        <w:rPr>
          <w:sz w:val="28"/>
          <w:szCs w:val="28"/>
        </w:rPr>
        <w:t>3/4</w:t>
      </w:r>
      <w:r w:rsidR="00811607" w:rsidRPr="00AE5421">
        <w:rPr>
          <w:sz w:val="28"/>
          <w:szCs w:val="28"/>
        </w:rPr>
        <w:t>/</w:t>
      </w:r>
      <w:r w:rsidR="001F1B76" w:rsidRPr="00AE5421">
        <w:rPr>
          <w:sz w:val="28"/>
          <w:szCs w:val="28"/>
        </w:rPr>
        <w:t xml:space="preserve">1443 </w:t>
      </w:r>
      <w:r>
        <w:rPr>
          <w:sz w:val="28"/>
          <w:szCs w:val="28"/>
        </w:rPr>
        <w:t>A.H</w:t>
      </w:r>
    </w:p>
    <w:p w14:paraId="156A8A89" w14:textId="77777777" w:rsidR="001F1B76" w:rsidRPr="00AE5421" w:rsidRDefault="001F1B76" w:rsidP="001F1B76">
      <w:pPr>
        <w:spacing w:line="360" w:lineRule="auto"/>
        <w:rPr>
          <w:sz w:val="28"/>
          <w:szCs w:val="28"/>
        </w:rPr>
      </w:pPr>
      <w:r w:rsidRPr="00AE5421">
        <w:rPr>
          <w:sz w:val="28"/>
          <w:szCs w:val="28"/>
        </w:rPr>
        <w:t>Corresponding to 08/11/2021</w:t>
      </w:r>
      <w:r w:rsidR="00D92979">
        <w:rPr>
          <w:sz w:val="28"/>
          <w:szCs w:val="28"/>
        </w:rPr>
        <w:t xml:space="preserve"> A.D</w:t>
      </w:r>
    </w:p>
    <w:p w14:paraId="335179B8" w14:textId="77777777" w:rsidR="007B7FBB" w:rsidRPr="001F1B76" w:rsidRDefault="007B7FBB" w:rsidP="001F1B76">
      <w:pPr>
        <w:ind w:firstLine="720"/>
        <w:rPr>
          <w:sz w:val="28"/>
          <w:szCs w:val="28"/>
        </w:rPr>
      </w:pPr>
    </w:p>
    <w:sectPr w:rsidR="007B7FBB" w:rsidRPr="001F1B76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DCC6" w14:textId="77777777" w:rsidR="00A67D54" w:rsidRDefault="00A67D54" w:rsidP="007269B0">
      <w:pPr>
        <w:spacing w:after="0" w:line="240" w:lineRule="auto"/>
      </w:pPr>
      <w:r>
        <w:separator/>
      </w:r>
    </w:p>
  </w:endnote>
  <w:endnote w:type="continuationSeparator" w:id="0">
    <w:p w14:paraId="4D27F36D" w14:textId="77777777" w:rsidR="00A67D54" w:rsidRDefault="00A67D54" w:rsidP="0072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85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131C7" w14:textId="77777777" w:rsidR="005F20B5" w:rsidRDefault="005F2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F62A8" w14:textId="77777777" w:rsidR="005F20B5" w:rsidRDefault="005F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5A6A" w14:textId="77777777" w:rsidR="00A67D54" w:rsidRDefault="00A67D54" w:rsidP="007269B0">
      <w:pPr>
        <w:spacing w:after="0" w:line="240" w:lineRule="auto"/>
      </w:pPr>
      <w:r>
        <w:separator/>
      </w:r>
    </w:p>
  </w:footnote>
  <w:footnote w:type="continuationSeparator" w:id="0">
    <w:p w14:paraId="1BD152E2" w14:textId="77777777" w:rsidR="00A67D54" w:rsidRDefault="00A67D54" w:rsidP="0072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CA"/>
    <w:rsid w:val="000B7F35"/>
    <w:rsid w:val="0012059D"/>
    <w:rsid w:val="0012471F"/>
    <w:rsid w:val="001469AF"/>
    <w:rsid w:val="001D6B9D"/>
    <w:rsid w:val="001F1B76"/>
    <w:rsid w:val="002A0DBF"/>
    <w:rsid w:val="002A21BA"/>
    <w:rsid w:val="002F5E7C"/>
    <w:rsid w:val="003048AC"/>
    <w:rsid w:val="00332A17"/>
    <w:rsid w:val="00366224"/>
    <w:rsid w:val="003706EE"/>
    <w:rsid w:val="00371C60"/>
    <w:rsid w:val="00387667"/>
    <w:rsid w:val="003C0D4B"/>
    <w:rsid w:val="00462EA5"/>
    <w:rsid w:val="00470DB0"/>
    <w:rsid w:val="004B4126"/>
    <w:rsid w:val="005022FB"/>
    <w:rsid w:val="005D096E"/>
    <w:rsid w:val="005F20B5"/>
    <w:rsid w:val="0067378F"/>
    <w:rsid w:val="006C7AC3"/>
    <w:rsid w:val="0072627F"/>
    <w:rsid w:val="007269B0"/>
    <w:rsid w:val="00731657"/>
    <w:rsid w:val="00732A89"/>
    <w:rsid w:val="00732F58"/>
    <w:rsid w:val="00745834"/>
    <w:rsid w:val="007A4DC6"/>
    <w:rsid w:val="007B7FBB"/>
    <w:rsid w:val="00811607"/>
    <w:rsid w:val="00854FF7"/>
    <w:rsid w:val="008637E1"/>
    <w:rsid w:val="008E70CA"/>
    <w:rsid w:val="00911880"/>
    <w:rsid w:val="00964B95"/>
    <w:rsid w:val="00A210D6"/>
    <w:rsid w:val="00A67D54"/>
    <w:rsid w:val="00A67F89"/>
    <w:rsid w:val="00AA36D3"/>
    <w:rsid w:val="00AD6D77"/>
    <w:rsid w:val="00AE5421"/>
    <w:rsid w:val="00B4432D"/>
    <w:rsid w:val="00B90CC1"/>
    <w:rsid w:val="00B9446C"/>
    <w:rsid w:val="00BA3263"/>
    <w:rsid w:val="00BD6A34"/>
    <w:rsid w:val="00BF4543"/>
    <w:rsid w:val="00BF463A"/>
    <w:rsid w:val="00BF56E4"/>
    <w:rsid w:val="00C62B37"/>
    <w:rsid w:val="00C773CA"/>
    <w:rsid w:val="00C852B5"/>
    <w:rsid w:val="00CB3268"/>
    <w:rsid w:val="00CD6B6A"/>
    <w:rsid w:val="00CF6A68"/>
    <w:rsid w:val="00CF7550"/>
    <w:rsid w:val="00D20574"/>
    <w:rsid w:val="00D21851"/>
    <w:rsid w:val="00D83A9A"/>
    <w:rsid w:val="00D92979"/>
    <w:rsid w:val="00DD28AF"/>
    <w:rsid w:val="00DF78DF"/>
    <w:rsid w:val="00EA10BE"/>
    <w:rsid w:val="00ED1A9B"/>
    <w:rsid w:val="00F7367B"/>
    <w:rsid w:val="00F83615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7EC2"/>
  <w15:chartTrackingRefBased/>
  <w15:docId w15:val="{556156BF-B801-4D39-B698-A327290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7C"/>
    <w:rPr>
      <w:rFonts w:asciiTheme="majorBidi" w:hAnsiTheme="majorBidi" w:cstheme="majorBidi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0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 w:cstheme="minorBidi"/>
      <w:noProof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269B0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9B0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 w:cstheme="minorBidi"/>
      <w:noProof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269B0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Jabbour</dc:creator>
  <cp:keywords/>
  <dc:description/>
  <cp:lastModifiedBy>Sofiene Marouane</cp:lastModifiedBy>
  <cp:revision>2</cp:revision>
  <dcterms:created xsi:type="dcterms:W3CDTF">2022-01-25T05:24:00Z</dcterms:created>
  <dcterms:modified xsi:type="dcterms:W3CDTF">2022-01-25T05:24:00Z</dcterms:modified>
</cp:coreProperties>
</file>